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DA" w:rsidRPr="00CE0FDA" w:rsidRDefault="00CE0FDA" w:rsidP="00CE0FDA">
      <w:pPr>
        <w:shd w:val="clear" w:color="auto" w:fill="FFFFFF"/>
        <w:spacing w:after="120" w:line="240" w:lineRule="auto"/>
        <w:jc w:val="center"/>
        <w:rPr>
          <w:rFonts w:ascii="Sylfaen" w:eastAsia="Times New Roman" w:hAnsi="Sylfaen" w:cs="Segoe UI Historic"/>
          <w:b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"</w:t>
      </w:r>
      <w:proofErr w:type="spell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Տվյալների</w:t>
      </w:r>
      <w:proofErr w:type="spell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գիտությունը</w:t>
      </w:r>
      <w:proofErr w:type="spell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բիզնեսում</w:t>
      </w:r>
      <w:proofErr w:type="spell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"</w:t>
      </w:r>
    </w:p>
    <w:p w:rsidR="00CE0FDA" w:rsidRPr="00CE0FDA" w:rsidRDefault="00CE0FDA" w:rsidP="00CE0FDA">
      <w:pPr>
        <w:shd w:val="clear" w:color="auto" w:fill="FFFFFF"/>
        <w:spacing w:after="120" w:line="240" w:lineRule="auto"/>
        <w:jc w:val="center"/>
        <w:rPr>
          <w:rFonts w:ascii="Sylfaen" w:eastAsia="Times New Roman" w:hAnsi="Sylfaen" w:cs="Segoe UI Historic"/>
          <w:b/>
          <w:color w:val="050505"/>
          <w:sz w:val="28"/>
          <w:szCs w:val="28"/>
        </w:rPr>
      </w:pPr>
      <w:proofErr w:type="spellStart"/>
      <w:proofErr w:type="gram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մագիստրոսական</w:t>
      </w:r>
      <w:proofErr w:type="spellEnd"/>
      <w:proofErr w:type="gram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ծրագրի</w:t>
      </w:r>
      <w:proofErr w:type="spell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ընդունելության</w:t>
      </w:r>
      <w:proofErr w:type="spellEnd"/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 xml:space="preserve"> </w:t>
      </w:r>
    </w:p>
    <w:p w:rsidR="00CE0FDA" w:rsidRPr="00CE0FDA" w:rsidRDefault="00CE0FDA" w:rsidP="00CE0FDA">
      <w:pPr>
        <w:shd w:val="clear" w:color="auto" w:fill="FFFFFF"/>
        <w:spacing w:after="120" w:line="240" w:lineRule="auto"/>
        <w:jc w:val="center"/>
        <w:rPr>
          <w:rFonts w:ascii="Sylfaen" w:eastAsia="Times New Roman" w:hAnsi="Sylfaen" w:cs="Segoe UI Historic"/>
          <w:b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color w:val="050505"/>
          <w:sz w:val="28"/>
          <w:szCs w:val="28"/>
        </w:rPr>
        <w:t>ՀԱՐՑԱՇԱՐ</w:t>
      </w:r>
    </w:p>
    <w:p w:rsidR="00CE0FDA" w:rsidRPr="00CE0FDA" w:rsidRDefault="00CE0FDA" w:rsidP="00CE0FDA">
      <w:pPr>
        <w:shd w:val="clear" w:color="auto" w:fill="FFFFFF"/>
        <w:spacing w:after="120" w:line="240" w:lineRule="auto"/>
        <w:jc w:val="center"/>
        <w:rPr>
          <w:rFonts w:ascii="Sylfaen" w:eastAsia="Times New Roman" w:hAnsi="Sylfaen" w:cs="Segoe UI Historic"/>
          <w:b/>
          <w:color w:val="050505"/>
        </w:rPr>
      </w:pP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1.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Մաթեմատիկական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անալիզ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1.1.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Ֆունկցիաներ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մոդելներ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1)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1.2.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Սահմաններ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ածանցյալներ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2)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1.3.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Ածանցման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կանոններ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3)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1.4.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Դիֆերենցյալ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հաշվարի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կիրառությունները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4)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1.5.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Ինտեգրալներ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5, Chapter 6)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1.6.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Ինտեգրման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մեթոդները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7)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1.7.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Անվերջ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հաջորդականություններ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շարքեր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11)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1.8.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Մասնակի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ածանյալներ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14)</w:t>
      </w:r>
    </w:p>
    <w:p w:rsidR="00CE0FDA" w:rsidRPr="007A1B4C" w:rsidRDefault="007A1B4C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b/>
          <w:color w:val="050505"/>
          <w:sz w:val="23"/>
          <w:szCs w:val="23"/>
        </w:rPr>
      </w:pP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Առաջարկվող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 xml:space="preserve"> </w:t>
      </w: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գրականությունը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․</w:t>
      </w:r>
    </w:p>
    <w:p w:rsid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James Stewart, Calculus: Early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Transcendentals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, </w:t>
      </w:r>
      <w:proofErr w:type="gram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6th</w:t>
      </w:r>
      <w:proofErr w:type="gram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Edition, Thomson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2.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Վեկտորների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մատրիցների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հիմնական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հատկությունները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2.1.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Բազմություններ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2.2.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Գործողություններ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մատրիցների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հետ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2.3.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Քառակուսային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մատրիցներ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2.4.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Գծային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քառակուսային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ձևեր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2.5.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ռանգ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2.6.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Հակադարձ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2.7.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դետերմինանտ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2.8.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հետք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2.9.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Բլոկներով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մատրիցներ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2.10.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Միավոր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վեկտոր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միավոր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արժեք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2.11.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Շուռի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դեկոմպոզիցիայի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թեորեմ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2.12.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Դրական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որոշված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մատրիցներ</w:t>
      </w:r>
      <w:proofErr w:type="spellEnd"/>
    </w:p>
    <w:p w:rsidR="00CE0FDA" w:rsidRPr="007A1B4C" w:rsidRDefault="007A1B4C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b/>
          <w:color w:val="050505"/>
          <w:sz w:val="23"/>
          <w:szCs w:val="23"/>
        </w:rPr>
      </w:pP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Առաջարկվող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 xml:space="preserve"> </w:t>
      </w: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գրականությունը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․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lastRenderedPageBreak/>
        <w:t xml:space="preserve">J.R. Magnus, H.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Neudecker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, «Matrix Differential Calculus with Application in Statistics and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Econometrics», John Wiley and Sons, 3rd Edition (Chapter 1)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3.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Հավանականությունների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տեսություն</w:t>
      </w:r>
      <w:proofErr w:type="spellEnd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 և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վիճակագրություն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3.1.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Նկարագրական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վիճակագրություն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1)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3.2.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Հավանականությունների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տեսության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հիմնական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գաղափարները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2 and 3)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3.3.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Ընտրանքային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բաշխում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4)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3.4.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Կետային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գնահատական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5)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3.5.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Միջակայքային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գնահատական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6)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3.6.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Վարկածների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ստուգում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(Chapter 7)</w:t>
      </w:r>
    </w:p>
    <w:p w:rsidR="00CE0FDA" w:rsidRPr="007A1B4C" w:rsidRDefault="007A1B4C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b/>
          <w:color w:val="050505"/>
          <w:sz w:val="23"/>
          <w:szCs w:val="23"/>
        </w:rPr>
      </w:pP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Առաջարկվող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 xml:space="preserve"> </w:t>
      </w: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գրականությունը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․</w:t>
      </w:r>
    </w:p>
    <w:p w:rsid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Kandethody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M. Ramachandran, Chris P.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Tsokos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, Mathematical Statistics with Applications, Elsevier</w:t>
      </w:r>
      <w:r>
        <w:rPr>
          <w:rFonts w:ascii="Sylfaen" w:eastAsia="Times New Roman" w:hAnsi="Sylfaen" w:cs="Segoe UI Historic"/>
          <w:color w:val="050505"/>
          <w:sz w:val="23"/>
          <w:szCs w:val="23"/>
          <w:lang w:val="hy-AM"/>
        </w:rPr>
        <w:t xml:space="preserve">  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Academic Press.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8"/>
          <w:szCs w:val="28"/>
        </w:rPr>
      </w:pPr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 xml:space="preserve">4.Օպտիմալացման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մեթոդներ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4.1</w:t>
      </w:r>
      <w:r w:rsidRPr="00CE0FDA">
        <w:rPr>
          <w:rFonts w:ascii="Times New Roman" w:eastAsia="Times New Roman" w:hAnsi="Times New Roman" w:cs="Times New Roman"/>
          <w:color w:val="050505"/>
          <w:sz w:val="23"/>
          <w:szCs w:val="23"/>
        </w:rPr>
        <w:t>․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Գծային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ծրագրավորման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խնդրի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դրվածքը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4.2</w:t>
      </w:r>
      <w:r w:rsidRPr="00CE0FDA">
        <w:rPr>
          <w:rFonts w:ascii="Times New Roman" w:eastAsia="Times New Roman" w:hAnsi="Times New Roman" w:cs="Times New Roman"/>
          <w:color w:val="050505"/>
          <w:sz w:val="23"/>
          <w:szCs w:val="23"/>
        </w:rPr>
        <w:t>․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Գծային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ծրագրավորման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երկակի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 xml:space="preserve"> </w:t>
      </w:r>
      <w:proofErr w:type="spellStart"/>
      <w:r w:rsidRPr="00CE0FDA">
        <w:rPr>
          <w:rFonts w:ascii="Sylfaen" w:eastAsia="Times New Roman" w:hAnsi="Sylfaen" w:cs="Sylfaen"/>
          <w:color w:val="050505"/>
          <w:sz w:val="23"/>
          <w:szCs w:val="23"/>
        </w:rPr>
        <w:t>խնդիրը</w:t>
      </w:r>
      <w:proofErr w:type="spellEnd"/>
    </w:p>
    <w:p w:rsidR="00CE0FDA" w:rsidRPr="007A1B4C" w:rsidRDefault="007A1B4C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b/>
          <w:color w:val="050505"/>
          <w:sz w:val="23"/>
          <w:szCs w:val="23"/>
          <w:lang w:val="hy-AM"/>
        </w:rPr>
      </w:pP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Առաջարկվող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 xml:space="preserve"> </w:t>
      </w: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գրականություն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․</w:t>
      </w:r>
    </w:p>
    <w:p w:rsid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Таха Хэмди А. Исследование операций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8"/>
          <w:szCs w:val="28"/>
          <w:lang w:val="ru-RU"/>
        </w:rPr>
      </w:pPr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  <w:lang w:val="ru-RU"/>
        </w:rPr>
        <w:t xml:space="preserve">5. </w:t>
      </w:r>
      <w:proofErr w:type="spellStart"/>
      <w:r w:rsidRPr="00CE0FDA">
        <w:rPr>
          <w:rFonts w:ascii="Sylfaen" w:eastAsia="Times New Roman" w:hAnsi="Sylfaen" w:cs="Segoe UI Historic"/>
          <w:b/>
          <w:bCs/>
          <w:color w:val="050505"/>
          <w:sz w:val="28"/>
          <w:szCs w:val="28"/>
        </w:rPr>
        <w:t>Տնտեսագիտություն</w:t>
      </w:r>
      <w:proofErr w:type="spellEnd"/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5.1.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Սպառողական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վարքի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օգտակարության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մաքսիմալացման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խնդիրը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։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5.2.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Արտադրության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(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ֆիրմայի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)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տեսությունը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: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5.3.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Երկարաժամկետ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կարճաժամկետ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ծախքերի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ֆունկցիաներ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: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Երկարաժամկետ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ընդհանուր</w:t>
      </w:r>
      <w:proofErr w:type="spellEnd"/>
      <w:proofErr w:type="gramStart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,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միջին</w:t>
      </w:r>
      <w:proofErr w:type="spellEnd"/>
      <w:proofErr w:type="gram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սահմանային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ծախքերի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կորերը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: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5.4.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Հասույթ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շահույթ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հասկացությունները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: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Շահույթի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մաքսիմալացումը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։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Կապը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նրանց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միջև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։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5.5.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Հավասարակշռությունը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ապրանքների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ծառայությունների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շուկայում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: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IS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կոր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-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ի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proofErr w:type="spellStart"/>
      <w:proofErr w:type="gram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հանրահաշվական</w:t>
      </w:r>
      <w:proofErr w:type="spellEnd"/>
      <w:proofErr w:type="gram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գրաֆիկական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տեսքերի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ստացումը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: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5.6.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Տնտեսական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աճ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. </w:t>
      </w:r>
      <w:proofErr w:type="spellStart"/>
      <w:proofErr w:type="gram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տեսակները</w:t>
      </w:r>
      <w:proofErr w:type="spellEnd"/>
      <w:proofErr w:type="gram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,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գործոնները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: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Դասական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քեյնսյան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մոտեցումներ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: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5.7.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LM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կոր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. </w:t>
      </w:r>
      <w:proofErr w:type="spellStart"/>
      <w:proofErr w:type="gram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հանրահաշվական</w:t>
      </w:r>
      <w:proofErr w:type="spellEnd"/>
      <w:proofErr w:type="gram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և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գրաֆիկական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տեսքերի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ստացումը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։</w:t>
      </w:r>
    </w:p>
    <w:p w:rsidR="00CE0FDA" w:rsidRPr="007A1B4C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b/>
          <w:color w:val="050505"/>
          <w:sz w:val="23"/>
          <w:szCs w:val="23"/>
          <w:lang w:val="ru-RU"/>
        </w:rPr>
      </w:pPr>
      <w:proofErr w:type="spellStart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lastRenderedPageBreak/>
        <w:t>Առաջարկվող</w:t>
      </w:r>
      <w:proofErr w:type="spellEnd"/>
      <w:r w:rsidRPr="007A1B4C">
        <w:rPr>
          <w:rFonts w:ascii="Sylfaen" w:eastAsia="Times New Roman" w:hAnsi="Sylfaen" w:cs="Segoe UI Historic"/>
          <w:b/>
          <w:color w:val="050505"/>
          <w:sz w:val="23"/>
          <w:szCs w:val="23"/>
          <w:lang w:val="ru-RU"/>
        </w:rPr>
        <w:t xml:space="preserve"> </w:t>
      </w:r>
      <w:proofErr w:type="spellStart"/>
      <w:r w:rsidR="007A1B4C"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գրականությունը</w:t>
      </w:r>
      <w:proofErr w:type="spellEnd"/>
      <w:r w:rsidR="007A1B4C" w:rsidRPr="007A1B4C">
        <w:rPr>
          <w:rFonts w:ascii="Sylfaen" w:eastAsia="Times New Roman" w:hAnsi="Sylfaen" w:cs="Segoe UI Historic"/>
          <w:b/>
          <w:color w:val="050505"/>
          <w:sz w:val="23"/>
          <w:szCs w:val="23"/>
        </w:rPr>
        <w:t>․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Халл Вариан. Микроэкономика. Промежуточный уровень. Современный подход</w:t>
      </w:r>
    </w:p>
    <w:p w:rsidR="00CE0FDA" w:rsidRPr="00CE0FDA" w:rsidRDefault="00CE0FDA" w:rsidP="00CE0FDA">
      <w:pPr>
        <w:shd w:val="clear" w:color="auto" w:fill="FFFFFF"/>
        <w:spacing w:after="120" w:line="240" w:lineRule="auto"/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</w:pP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Մենքյու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 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Գ</w:t>
      </w:r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.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Մակրոտնտեսագիտություն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 xml:space="preserve">, </w:t>
      </w:r>
      <w:proofErr w:type="spellStart"/>
      <w:r w:rsidRPr="00CE0FDA">
        <w:rPr>
          <w:rFonts w:ascii="Sylfaen" w:eastAsia="Times New Roman" w:hAnsi="Sylfaen" w:cs="Segoe UI Historic"/>
          <w:color w:val="050505"/>
          <w:sz w:val="23"/>
          <w:szCs w:val="23"/>
        </w:rPr>
        <w:t>Երևան</w:t>
      </w:r>
      <w:proofErr w:type="spellEnd"/>
      <w:r w:rsidRPr="00CE0FDA">
        <w:rPr>
          <w:rFonts w:ascii="Sylfaen" w:eastAsia="Times New Roman" w:hAnsi="Sylfaen" w:cs="Segoe UI Historic"/>
          <w:color w:val="050505"/>
          <w:sz w:val="23"/>
          <w:szCs w:val="23"/>
          <w:lang w:val="ru-RU"/>
        </w:rPr>
        <w:t>, 1997.</w:t>
      </w:r>
    </w:p>
    <w:p w:rsidR="000527D7" w:rsidRPr="00CE0FDA" w:rsidRDefault="007A1B4C">
      <w:pPr>
        <w:rPr>
          <w:rFonts w:ascii="Sylfaen" w:hAnsi="Sylfaen"/>
          <w:lang w:val="ru-RU"/>
        </w:rPr>
      </w:pPr>
      <w:bookmarkStart w:id="0" w:name="_GoBack"/>
      <w:bookmarkEnd w:id="0"/>
    </w:p>
    <w:sectPr w:rsidR="000527D7" w:rsidRPr="00CE0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8E"/>
    <w:rsid w:val="007A1B4C"/>
    <w:rsid w:val="00C8678E"/>
    <w:rsid w:val="00CE0FDA"/>
    <w:rsid w:val="00F36719"/>
    <w:rsid w:val="00FD77D9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A2E1"/>
  <w15:chartTrackingRefBased/>
  <w15:docId w15:val="{289663A4-5C47-4BC0-B54C-BEADDEF5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C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4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2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3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2022-04-30T15:09:00Z</dcterms:created>
  <dcterms:modified xsi:type="dcterms:W3CDTF">2022-04-30T15:09:00Z</dcterms:modified>
</cp:coreProperties>
</file>